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37F8" w14:textId="1DCA5C82" w:rsidR="008F590F" w:rsidRDefault="008F590F" w:rsidP="008F590F">
      <w:pPr>
        <w:pStyle w:val="PlainHeading"/>
      </w:pPr>
      <w:r>
        <w:t xml:space="preserve">A Rescue Programme for Local Communities </w:t>
      </w:r>
    </w:p>
    <w:p w14:paraId="01B842FF" w14:textId="3105AA05" w:rsidR="008F590F" w:rsidRDefault="006718BD" w:rsidP="008F590F">
      <w:pPr>
        <w:pStyle w:val="Heading3"/>
      </w:pPr>
      <w:r>
        <w:t xml:space="preserve">Background: </w:t>
      </w:r>
      <w:r w:rsidR="008F590F">
        <w:t xml:space="preserve">The Aim of this Programme </w:t>
      </w:r>
    </w:p>
    <w:p w14:paraId="74465652" w14:textId="6BC1DACF" w:rsidR="00B94782" w:rsidRPr="00B94782" w:rsidRDefault="00B94782" w:rsidP="00B94782">
      <w:r>
        <w:t>The Office for Budget Responsibility’s Coronavirus Analysis forecasts job losses and unemployment, levels of which have not been witnessed in the UK since the 1970s and 1980s</w:t>
      </w:r>
      <w:r w:rsidR="006718BD">
        <w:t xml:space="preserve"> </w:t>
      </w:r>
      <w:r w:rsidR="006718BD">
        <w:fldChar w:fldCharType="begin"/>
      </w:r>
      <w:r w:rsidR="006718BD">
        <w:instrText xml:space="preserve"> ADDIN ZOTERO_ITEM CSL_CITATION {"citationID":"eDhrptuC","properties":{"formattedCitation":"(Office for Budget Responsibility, 2020)","plainCitation":"(Office for Budget Responsibility, 2020)","noteIndex":0},"citationItems":[{"id":26038,"uris":["http://zotero.org/users/3573029/items/Q59ZCNXC"],"uri":["http://zotero.org/users/3573029/items/Q59ZCNXC"],"itemData":{"id":26038,"type":"webpage","abstract":"Overall forecasts of GDP and employment","container-title":"Office for Budget Responsibility","language":"en-GB","note":"source: obr.uk","title":"Coronavirus Reference Scenario","URL":"https://obr.uk/coronavirus-reference-scenario/","author":[{"family":"Office for Budget Responsibility","given":""}],"accessed":{"date-parts":[["2020",4,20]]},"issued":{"date-parts":[["2020",4,14]]}}}],"schema":"https://github.com/citation-style-language/schema/raw/master/csl-citation.json"} </w:instrText>
      </w:r>
      <w:r w:rsidR="006718BD">
        <w:fldChar w:fldCharType="separate"/>
      </w:r>
      <w:r w:rsidR="006718BD" w:rsidRPr="006718BD">
        <w:rPr>
          <w:rFonts w:ascii="Calibri" w:hAnsi="Calibri" w:cs="Calibri"/>
        </w:rPr>
        <w:t>(Office for Budget Responsibility, 2020)</w:t>
      </w:r>
      <w:r w:rsidR="006718BD">
        <w:fldChar w:fldCharType="end"/>
      </w:r>
      <w:r>
        <w:t xml:space="preserve">: </w:t>
      </w:r>
    </w:p>
    <w:p w14:paraId="5D1AD037" w14:textId="06F415FD" w:rsidR="00B94782" w:rsidRDefault="00B94782" w:rsidP="00B94782">
      <w:pPr>
        <w:pStyle w:val="Quote"/>
        <w:rPr>
          <w:shd w:val="clear" w:color="auto" w:fill="FFFFFF"/>
        </w:rPr>
      </w:pPr>
      <w:r>
        <w:rPr>
          <w:shd w:val="clear" w:color="auto" w:fill="FFFFFF"/>
        </w:rPr>
        <w:t>“The sharp fall in GDP is accompanied by a steep rise in the unemployment rate to 10 per cent in the second quarter, equivalent to an increase in unemployment of 2.1mn (to a total of 3.4mn). As with GDP, the rise in unemployment is likely to be very fast, as the sharp rise in new claims for UC already attests”.</w:t>
      </w:r>
    </w:p>
    <w:p w14:paraId="5CFC35D8" w14:textId="271D51B9" w:rsidR="006718BD" w:rsidRPr="006718BD" w:rsidRDefault="006718BD" w:rsidP="006718BD">
      <w:r>
        <w:t xml:space="preserve">This is comparable with the UK job losses deindustrialisation in the 1970s and 1980s, following the oil price increase and globalisation, as summarised by Community Development Programme workers </w:t>
      </w:r>
      <w:r>
        <w:fldChar w:fldCharType="begin"/>
      </w:r>
      <w:r w:rsidR="005851B3">
        <w:instrText xml:space="preserve"> ADDIN ZOTERO_ITEM CSL_CITATION {"citationID":"N2WxaHGV","properties":{"formattedCitation":"(CDP Inter Project Editorial Team, 1977, p. 32)","plainCitation":"(CDP Inter Project Editorial Team, 1977, p. 32)","noteIndex":0},"citationItems":[{"id":6735,"uris":["http://zotero.org/users/3573029/items/5N49BZJE"],"uri":["http://zotero.org/users/3573029/items/5N49BZJE"],"itemData":{"id":6735,"type":"report","abstract":"Analysis and resistance to area based strategic regeneration policies.","event-place":"London","page":"1-64","publisher":"Home Office;","publisher-place":"London","title":"Gilding the Ghetto: The State and Poverty Experiments","author":[{"literal":"CDP Inter Project Editorial Team"}],"issued":{"date-parts":[["1977"]]}},"locator":"32","label":"page"}],"schema":"https://github.com/citation-style-language/schema/raw/master/csl-citation.json"} </w:instrText>
      </w:r>
      <w:r>
        <w:fldChar w:fldCharType="separate"/>
      </w:r>
      <w:r w:rsidR="005851B3" w:rsidRPr="005851B3">
        <w:rPr>
          <w:rFonts w:ascii="Calibri" w:hAnsi="Calibri" w:cs="Calibri"/>
        </w:rPr>
        <w:t>(CDP Inter Project Editorial Team, 1977, p. 32)</w:t>
      </w:r>
      <w:r>
        <w:fldChar w:fldCharType="end"/>
      </w:r>
      <w:r>
        <w:t xml:space="preserve">. </w:t>
      </w:r>
    </w:p>
    <w:p w14:paraId="20984541" w14:textId="06E32FA7" w:rsidR="006718BD" w:rsidRPr="0006092D" w:rsidRDefault="006718BD" w:rsidP="006718BD">
      <w:pPr>
        <w:pStyle w:val="Quote"/>
        <w:rPr>
          <w:rFonts w:cs="Calibri"/>
        </w:rPr>
      </w:pPr>
      <w:r w:rsidRPr="005E78C6">
        <w:t>“Between 1966 and 1971 manufacturing employment in Manchester declined by 20%, in Liverpool by 19%, in Birmingham by 13%, in Newcastle by 11% and in Inner London by 18%</w:t>
      </w:r>
      <w:r>
        <w:t xml:space="preserve">. In London’s Canning Town, between 1966 and 1972, almost half of the area’s workers were made redundant at some time” </w:t>
      </w:r>
    </w:p>
    <w:p w14:paraId="7A4B1F1E" w14:textId="440CA470" w:rsidR="00C52289" w:rsidRDefault="00803EE3">
      <w:r>
        <w:t xml:space="preserve">Most projected post Coronavirus economic and social ‘rescue packages’ will undoubtedly be private sector led. Unfortunately, following precedent, </w:t>
      </w:r>
      <w:r w:rsidR="007E75B0">
        <w:t xml:space="preserve">most </w:t>
      </w:r>
      <w:r>
        <w:t xml:space="preserve">national representatives of third sector organisations, </w:t>
      </w:r>
      <w:r w:rsidR="007E75B0">
        <w:t xml:space="preserve">including </w:t>
      </w:r>
      <w:r>
        <w:t>voluntary</w:t>
      </w:r>
      <w:r w:rsidR="00C426AD">
        <w:t xml:space="preserve">, </w:t>
      </w:r>
      <w:r>
        <w:t>community</w:t>
      </w:r>
      <w:r w:rsidR="007E75B0">
        <w:t xml:space="preserve">, </w:t>
      </w:r>
      <w:r w:rsidR="00C426AD">
        <w:t>social enterprises</w:t>
      </w:r>
      <w:r w:rsidR="007E75B0">
        <w:t xml:space="preserve"> and </w:t>
      </w:r>
      <w:r w:rsidR="00C426AD">
        <w:t>cooperatives</w:t>
      </w:r>
      <w:r>
        <w:t xml:space="preserve">, will </w:t>
      </w:r>
      <w:r w:rsidR="00C426AD">
        <w:t xml:space="preserve">fall </w:t>
      </w:r>
      <w:r>
        <w:t xml:space="preserve">in behind this, anxious not to miss out on potential funding. There are ample precedents for </w:t>
      </w:r>
      <w:r w:rsidR="006718BD">
        <w:t>their support</w:t>
      </w:r>
      <w:r w:rsidR="007E75B0">
        <w:t>ing</w:t>
      </w:r>
      <w:r w:rsidR="006718BD">
        <w:t xml:space="preserve"> similar policies </w:t>
      </w:r>
      <w:r>
        <w:t xml:space="preserve">from the early days of </w:t>
      </w:r>
      <w:r w:rsidR="00C52289">
        <w:t xml:space="preserve">1997 and 2001 </w:t>
      </w:r>
      <w:r>
        <w:t xml:space="preserve">New Labour </w:t>
      </w:r>
      <w:r w:rsidR="00C52289">
        <w:t xml:space="preserve">Governments </w:t>
      </w:r>
      <w:r>
        <w:t xml:space="preserve">and during the initial years of the Cameron Clegg </w:t>
      </w:r>
      <w:r w:rsidR="006718BD">
        <w:t xml:space="preserve">Coalition </w:t>
      </w:r>
      <w:r w:rsidR="00C52289">
        <w:t>2010 till 2015</w:t>
      </w:r>
      <w:r>
        <w:t xml:space="preserve">. </w:t>
      </w:r>
    </w:p>
    <w:p w14:paraId="2269A422" w14:textId="6ADC9055" w:rsidR="00CE7AEE" w:rsidRDefault="00C426AD" w:rsidP="005851B3">
      <w:r>
        <w:t xml:space="preserve">For </w:t>
      </w:r>
      <w:r w:rsidR="007E75B0">
        <w:t xml:space="preserve">over </w:t>
      </w:r>
      <w:r>
        <w:t xml:space="preserve">twenty years, national organisations representing the third sector have </w:t>
      </w:r>
      <w:r w:rsidR="00C52289">
        <w:t xml:space="preserve">not </w:t>
      </w:r>
      <w:r>
        <w:t xml:space="preserve">opposed </w:t>
      </w:r>
      <w:r w:rsidR="00C52289">
        <w:t xml:space="preserve">New Labour and Conservative </w:t>
      </w:r>
      <w:r>
        <w:t xml:space="preserve">Government policies </w:t>
      </w:r>
      <w:r w:rsidR="00C52289">
        <w:t xml:space="preserve">of </w:t>
      </w:r>
      <w:r>
        <w:t>increas</w:t>
      </w:r>
      <w:r w:rsidR="00C52289">
        <w:t>ed</w:t>
      </w:r>
      <w:r>
        <w:t xml:space="preserve"> outsourcing, privatisation or marketisation of the delivery of public services. </w:t>
      </w:r>
      <w:r w:rsidR="006718BD">
        <w:t xml:space="preserve">Instead, </w:t>
      </w:r>
      <w:r>
        <w:t xml:space="preserve">many of these policies have been led by </w:t>
      </w:r>
      <w:r w:rsidR="007E75B0">
        <w:t xml:space="preserve">the </w:t>
      </w:r>
      <w:r>
        <w:t xml:space="preserve">third sector, usually in anticipation of increased central or local government funding. </w:t>
      </w:r>
      <w:r w:rsidR="00C52289">
        <w:t xml:space="preserve">As a result, most third sector </w:t>
      </w:r>
      <w:r w:rsidR="006718BD">
        <w:t xml:space="preserve">organisations are </w:t>
      </w:r>
      <w:r w:rsidR="00C52289">
        <w:t xml:space="preserve">no longer part of a separate social economy but </w:t>
      </w:r>
      <w:r w:rsidR="009E1538">
        <w:t xml:space="preserve">are seen </w:t>
      </w:r>
      <w:r w:rsidR="00124040">
        <w:t xml:space="preserve">as </w:t>
      </w:r>
      <w:r w:rsidR="00C52289">
        <w:t>providing ad hoc and low cost solutions to public service delivery</w:t>
      </w:r>
      <w:r w:rsidR="005851B3">
        <w:t xml:space="preserve">. </w:t>
      </w:r>
    </w:p>
    <w:p w14:paraId="0A475842" w14:textId="5466DBC2" w:rsidR="00803EE3" w:rsidRDefault="00803EE3" w:rsidP="00803EE3">
      <w:pPr>
        <w:pStyle w:val="Heading3"/>
      </w:pPr>
      <w:r>
        <w:t xml:space="preserve">Experience from Previous Deindustrialisation </w:t>
      </w:r>
    </w:p>
    <w:p w14:paraId="06B4B191" w14:textId="025D38DB" w:rsidR="00622D52" w:rsidRDefault="00803EE3" w:rsidP="005851B3">
      <w:r>
        <w:t xml:space="preserve">Based on Labour experience during </w:t>
      </w:r>
      <w:r w:rsidR="00124040">
        <w:t>a 1970s</w:t>
      </w:r>
      <w:r>
        <w:t xml:space="preserve"> period of massive job losses and deindustrialisation, and </w:t>
      </w:r>
      <w:r w:rsidR="009E1538">
        <w:t xml:space="preserve">mostly using </w:t>
      </w:r>
      <w:r>
        <w:t>existing capacity within the public and third sector</w:t>
      </w:r>
      <w:r w:rsidR="009E1538">
        <w:t>s</w:t>
      </w:r>
      <w:r>
        <w:t xml:space="preserve">, this </w:t>
      </w:r>
      <w:r w:rsidR="009E1538">
        <w:t>Rescue Programme will be led</w:t>
      </w:r>
      <w:r>
        <w:t xml:space="preserve"> </w:t>
      </w:r>
      <w:r w:rsidR="009E1538">
        <w:t>by the p</w:t>
      </w:r>
      <w:r w:rsidR="00124040">
        <w:t xml:space="preserve">ublic and </w:t>
      </w:r>
      <w:r>
        <w:t>third sector</w:t>
      </w:r>
      <w:r w:rsidR="009E1538">
        <w:t>s</w:t>
      </w:r>
      <w:r w:rsidR="00124040">
        <w:t xml:space="preserve">, </w:t>
      </w:r>
      <w:r w:rsidR="009E1538">
        <w:t xml:space="preserve">based on those </w:t>
      </w:r>
      <w:r>
        <w:t xml:space="preserve">organisations which seek to restore local community economic and social democracy. Not only is there a need to reposition many third sector organisations from their current location within a marketised economy but also to begin laying foundations </w:t>
      </w:r>
      <w:r w:rsidR="003A3E50">
        <w:t xml:space="preserve">in areas </w:t>
      </w:r>
      <w:r>
        <w:t>where community wounds and sores have been laid bare</w:t>
      </w:r>
      <w:r w:rsidR="005851B3">
        <w:t xml:space="preserve">, with the genuine needs of local people overlooked </w:t>
      </w:r>
      <w:r w:rsidR="005851B3">
        <w:fldChar w:fldCharType="begin"/>
      </w:r>
      <w:r w:rsidR="005851B3">
        <w:instrText xml:space="preserve"> ADDIN ZOTERO_ITEM CSL_CITATION {"citationID":"pwnN2Dcc","properties":{"formattedCitation":"(Thake and Zadek, 1997, p. 12)","plainCitation":"(Thake and Zadek, 1997, p. 12)","noteIndex":0},"citationItems":[{"id":8974,"uris":["http://zotero.org/users/3573029/items/VZ2RP9IJ"],"uri":["http://zotero.org/users/3573029/items/VZ2RP9IJ"],"itemData":{"id":8974,"type":"article-journal","abstract":"Rather fuzzy description - a la Leadbeater - of social entrepreneurship","container-title":"New Economics Foundation","issue":"Monograph","title":"Practical People, Nobel Causes: How to Support Community Based Social Entrepreneurs","URL":"http://agallerymv.com/kindle/download/id=554725&amp;type=stream","volume":"1997","author":[{"family":"Thake","given":"Stephen"},{"family":"Zadek","given":"Simon"}],"issued":{"date-parts":[["1997"]]}},"locator":"12","label":"page"}],"schema":"https://github.com/citation-style-language/schema/raw/master/csl-citation.json"} </w:instrText>
      </w:r>
      <w:r w:rsidR="005851B3">
        <w:fldChar w:fldCharType="separate"/>
      </w:r>
      <w:r w:rsidR="005851B3" w:rsidRPr="005851B3">
        <w:rPr>
          <w:rFonts w:ascii="Calibri" w:hAnsi="Calibri" w:cs="Calibri"/>
        </w:rPr>
        <w:t>(Thake and Zadek, 1997, p. 12)</w:t>
      </w:r>
      <w:r w:rsidR="005851B3">
        <w:fldChar w:fldCharType="end"/>
      </w:r>
      <w:r w:rsidR="00622D52">
        <w:t>:</w:t>
      </w:r>
    </w:p>
    <w:p w14:paraId="01C81946" w14:textId="2E1C1740" w:rsidR="005851B3" w:rsidRDefault="005851B3" w:rsidP="005851B3">
      <w:r>
        <w:t xml:space="preserve"> </w:t>
      </w:r>
    </w:p>
    <w:p w14:paraId="747E32A5" w14:textId="77777777" w:rsidR="005851B3" w:rsidRDefault="005851B3" w:rsidP="005851B3">
      <w:pPr>
        <w:pStyle w:val="Quote"/>
      </w:pPr>
      <w:r>
        <w:lastRenderedPageBreak/>
        <w:t>“</w:t>
      </w:r>
      <w:r w:rsidRPr="00E80306">
        <w:t>Those neighbourhoods that have been dependent upon failing industrial, commercial and distribution processes have suffered terribly. … The inadequacies and injustices of the decision-making machinery, tolerated or unseen in times of plenty, are exposed”</w:t>
      </w:r>
    </w:p>
    <w:p w14:paraId="72B75866" w14:textId="0DA7F29A" w:rsidR="00803EE3" w:rsidRDefault="00803EE3" w:rsidP="00803EE3">
      <w:pPr>
        <w:pStyle w:val="Heading3"/>
      </w:pPr>
      <w:r>
        <w:t xml:space="preserve">The Foundational Economy and Local Communities </w:t>
      </w:r>
    </w:p>
    <w:p w14:paraId="580D098F" w14:textId="7E119E21" w:rsidR="00832C26" w:rsidRDefault="00803EE3">
      <w:r>
        <w:t xml:space="preserve">This </w:t>
      </w:r>
      <w:r w:rsidR="00A1659E">
        <w:t xml:space="preserve">Rescue Programme </w:t>
      </w:r>
      <w:r>
        <w:t xml:space="preserve">is </w:t>
      </w:r>
      <w:r w:rsidR="005851B3">
        <w:t xml:space="preserve">based </w:t>
      </w:r>
      <w:r>
        <w:t xml:space="preserve">on </w:t>
      </w:r>
      <w:r w:rsidR="00A1659E">
        <w:t xml:space="preserve">the </w:t>
      </w:r>
      <w:r>
        <w:t xml:space="preserve">“Foundational Economy” </w:t>
      </w:r>
      <w:r w:rsidR="005851B3">
        <w:t xml:space="preserve">- </w:t>
      </w:r>
      <w:r>
        <w:t xml:space="preserve">services needed by us all </w:t>
      </w:r>
      <w:r w:rsidR="005851B3">
        <w:t xml:space="preserve">- </w:t>
      </w:r>
      <w:r>
        <w:t>being restored to the public sector, with involvement of trade unions to ensure restoration of wages, terms and conditions</w:t>
      </w:r>
      <w:r w:rsidR="003A3E50">
        <w:t xml:space="preserve"> </w:t>
      </w:r>
      <w:r w:rsidR="003A3E50">
        <w:fldChar w:fldCharType="begin"/>
      </w:r>
      <w:r w:rsidR="003A3E50">
        <w:instrText xml:space="preserve"> ADDIN ZOTERO_ITEM CSL_CITATION {"citationID":"n5FhRsPm","properties":{"formattedCitation":"(Bentham et al., 2013; Foundational Economy Collective, 2018)","plainCitation":"(Bentham et al., 2013; Foundational Economy Collective, 2018)","noteIndex":0},"citationItems":[{"id":25738,"uris":["http://zotero.org/users/3573029/items/FWQ2WW4T"],"uri":["http://zotero.org/users/3573029/items/FWQ2WW4T"],"itemData":{"id":25738,"type":"report","abstract":"Basis for Foundational Economy","event-place":"Manchester","genre":"CRESC Working Paper","language":"en","number":"Working Paper No 131","page":"23","publisher":"Centre for Research on Socio Cultural Change","publisher-place":"Manchester","source":"Zotero","title":"Manifesto for the Foundational Economy","URL":"http://hummedia.manchester.ac.uk/institutes/cresc/workingpapers/wp131.pdf","author":[{"family":"Bentham","given":"Justin"},{"family":"Bowman","given":"Andrew"},{"family":"Ertürk","given":"Ismail"},{"family":"Folkman","given":"Peter"},{"family":"Froud","given":"Julie"},{"family":"Johal","given":"Sukhdev"},{"family":"Law","given":"John"},{"family":"Leaver","given":"Adam"},{"family":"Moran","given":"Mick"},{"family":"Williams","given":"Karel"}],"issued":{"date-parts":[["2013"]]}},"label":"page"},{"id":24879,"uris":["http://zotero.org/users/3573029/items/H25JUWDF"],"uri":["http://zotero.org/users/3573029/items/H25JUWDF"],"itemData":{"id":24879,"type":"book","abstract":"Outline of background, descriptions and prescriptions for handling Foundational Economy","edition":"2018","event-place":"Manchester","language":"English","number-of-pages":"176","publisher":"Manchester University Press","publisher-place":"Manchester","title":"Foundational Economy: The Infrastructure of Everyday Life","author":[{"family":"Foundational Economy Collective","given":""}],"issued":{"date-parts":[["2018"]]}},"label":"page"}],"schema":"https://github.com/citation-style-language/schema/raw/master/csl-citation.json"} </w:instrText>
      </w:r>
      <w:r w:rsidR="003A3E50">
        <w:fldChar w:fldCharType="separate"/>
      </w:r>
      <w:r w:rsidR="003A3E50" w:rsidRPr="003A3E50">
        <w:rPr>
          <w:rFonts w:ascii="Calibri" w:hAnsi="Calibri" w:cs="Calibri"/>
        </w:rPr>
        <w:t>(Bentham et al., 2013; Foundational Economy Collective, 2018)</w:t>
      </w:r>
      <w:r w:rsidR="003A3E50">
        <w:fldChar w:fldCharType="end"/>
      </w:r>
      <w:r w:rsidR="003A3E50">
        <w:t xml:space="preserve">. </w:t>
      </w:r>
      <w:r w:rsidR="005851B3">
        <w:t xml:space="preserve">Even where welfare critical and essential services are provided by the private or third sectors, they should be regarded as being the public domain. </w:t>
      </w:r>
      <w:r w:rsidR="00127E98">
        <w:t xml:space="preserve">However, ways forward </w:t>
      </w:r>
      <w:r w:rsidR="00A1659E">
        <w:t xml:space="preserve">for the Foundational Economy, as </w:t>
      </w:r>
      <w:r w:rsidR="00127E98">
        <w:t>projected by CLES in its latest offering “Owning the Future” is</w:t>
      </w:r>
      <w:r w:rsidR="003A3E50">
        <w:t xml:space="preserve"> only  minimally </w:t>
      </w:r>
      <w:r w:rsidR="00127E98">
        <w:t xml:space="preserve">supported </w:t>
      </w:r>
      <w:r w:rsidR="00127E98">
        <w:fldChar w:fldCharType="begin"/>
      </w:r>
      <w:r w:rsidR="00127E98">
        <w:instrText xml:space="preserve"> ADDIN ZOTERO_ITEM CSL_CITATION {"citationID":"F7PzVUcK","properties":{"formattedCitation":"(Guinan et al., 2020, p. 13)","plainCitation":"(Guinan et al., 2020, p. 13)","noteIndex":0},"citationItems":[{"id":26041,"uris":["http://zotero.org/users/3573029/items/5K9VLMGG"],"uri":["http://zotero.org/users/3573029/items/5K9VLMGG"],"itemData":{"id":26041,"type":"webpage","abstract":"Updated Community Wealth Building","container-title":"CLES","title":"Owning the Future: After Covid-19, a New Era or Community Wealth Building","URL":"https://cles.org.uk/wp-content/uploads/2020/04/Owning-the-future-FINAL3.pdf","author":[{"family":"Guinan","given":"Joe"},{"family":"Leibowitz","given":"Jonty"},{"family":"McInroy","given":"Neil"},{"family":"McKinley","given":"Sarah"}],"accessed":{"date-parts":[["2020",4,20]]},"issued":{"date-parts":[["2020",4,20]]}},"locator":"13","label":"page"}],"schema":"https://github.com/citation-style-language/schema/raw/master/csl-citation.json"} </w:instrText>
      </w:r>
      <w:r w:rsidR="00127E98">
        <w:fldChar w:fldCharType="separate"/>
      </w:r>
      <w:r w:rsidR="00127E98" w:rsidRPr="00127E98">
        <w:rPr>
          <w:rFonts w:ascii="Calibri" w:hAnsi="Calibri" w:cs="Calibri"/>
        </w:rPr>
        <w:t>(Guinan et al., 2020, p. 13)</w:t>
      </w:r>
      <w:r w:rsidR="00127E98">
        <w:fldChar w:fldCharType="end"/>
      </w:r>
      <w:r w:rsidR="00127E98">
        <w:t xml:space="preserve">: </w:t>
      </w:r>
    </w:p>
    <w:p w14:paraId="1F8823FB" w14:textId="7939B31C" w:rsidR="00127E98" w:rsidRPr="003A3E50" w:rsidRDefault="00127E98" w:rsidP="00127E98">
      <w:pPr>
        <w:pStyle w:val="Quote"/>
        <w:rPr>
          <w:color w:val="002060"/>
        </w:rPr>
      </w:pPr>
      <w:r>
        <w:t xml:space="preserve">“Localities must also use the relaxation offered in the UK government’s Covid-19 guidance package in the recovery stage to stimulate new forms of supply to service local demand, particularly in the foundational economy sectors. </w:t>
      </w:r>
      <w:r w:rsidRPr="003A3E50">
        <w:rPr>
          <w:color w:val="002060"/>
        </w:rPr>
        <w:t>Developing local industrial strategies which stimulate co-operatives and social businesses will also be essential and this will involve fundamental reform of the composition,</w:t>
      </w:r>
      <w:r w:rsidR="00A1659E" w:rsidRPr="003A3E50">
        <w:rPr>
          <w:color w:val="002060"/>
        </w:rPr>
        <w:t xml:space="preserve"> </w:t>
      </w:r>
      <w:r w:rsidRPr="003A3E50">
        <w:rPr>
          <w:color w:val="002060"/>
        </w:rPr>
        <w:t>powers and purposes of Local Enterprise Partnerships”.</w:t>
      </w:r>
    </w:p>
    <w:p w14:paraId="56932FBD" w14:textId="2CD4A01E" w:rsidR="0069507D" w:rsidRDefault="00FB64D0">
      <w:r>
        <w:t>Along</w:t>
      </w:r>
      <w:r w:rsidR="00127E98">
        <w:t xml:space="preserve">side </w:t>
      </w:r>
      <w:r w:rsidR="00803EE3">
        <w:t xml:space="preserve">the Foundational Economy there </w:t>
      </w:r>
      <w:r>
        <w:t xml:space="preserve">is </w:t>
      </w:r>
      <w:r w:rsidR="00803EE3">
        <w:t>a range of services in local communities, including training</w:t>
      </w:r>
      <w:r w:rsidR="005851B3">
        <w:t>, food provision</w:t>
      </w:r>
      <w:r w:rsidR="00803EE3">
        <w:t xml:space="preserve"> and </w:t>
      </w:r>
      <w:r w:rsidR="005851B3">
        <w:t xml:space="preserve">other </w:t>
      </w:r>
      <w:r w:rsidR="00803EE3">
        <w:t>support which have never been delivered by the public sector and are more appropriate</w:t>
      </w:r>
      <w:r>
        <w:t>ly</w:t>
      </w:r>
      <w:r w:rsidR="00803EE3">
        <w:t xml:space="preserve"> delivered by community </w:t>
      </w:r>
      <w:r w:rsidR="003A3E50">
        <w:t xml:space="preserve">and cooperative </w:t>
      </w:r>
      <w:r w:rsidR="00803EE3">
        <w:t>organisations.</w:t>
      </w:r>
      <w:r w:rsidR="00832C26">
        <w:t xml:space="preserve"> </w:t>
      </w:r>
      <w:r w:rsidR="003A3E50">
        <w:t>There are already</w:t>
      </w:r>
      <w:r w:rsidR="00832C26">
        <w:t xml:space="preserve"> developing programmes for </w:t>
      </w:r>
      <w:r>
        <w:t xml:space="preserve">online </w:t>
      </w:r>
      <w:r w:rsidR="00832C26">
        <w:t xml:space="preserve">local food </w:t>
      </w:r>
      <w:r>
        <w:t xml:space="preserve">sourcing </w:t>
      </w:r>
      <w:r w:rsidR="00832C26">
        <w:t>and delivery which, apart from rivalling Tesco and other online provision, would be more climate and environmentally friendly. Many of these might be support</w:t>
      </w:r>
      <w:r>
        <w:t>ed</w:t>
      </w:r>
      <w:r w:rsidR="00832C26">
        <w:t xml:space="preserve"> under </w:t>
      </w:r>
      <w:r w:rsidR="003A3E50">
        <w:t xml:space="preserve">current </w:t>
      </w:r>
      <w:r w:rsidR="00832C26">
        <w:t xml:space="preserve">environmental and climate </w:t>
      </w:r>
      <w:r w:rsidR="003A3E50">
        <w:t xml:space="preserve">challenge funding </w:t>
      </w:r>
      <w:r w:rsidR="00832C26">
        <w:t xml:space="preserve">programmes. Similarly, support for community energy and recycling, </w:t>
      </w:r>
      <w:r>
        <w:t xml:space="preserve">based on </w:t>
      </w:r>
      <w:r w:rsidR="00832C26">
        <w:t>existing organisations, offer more effective adherence to UN Sustainable Development Goals</w:t>
      </w:r>
      <w:r>
        <w:t xml:space="preserve"> then </w:t>
      </w:r>
      <w:r w:rsidR="00832C26">
        <w:t xml:space="preserve">“energy from waste” and other corporates. Many </w:t>
      </w:r>
      <w:r w:rsidR="003A3E50">
        <w:t xml:space="preserve">of these </w:t>
      </w:r>
      <w:r w:rsidR="00832C26">
        <w:t xml:space="preserve">PFI contracts have been supported by councils though these exclude community recycling. </w:t>
      </w:r>
    </w:p>
    <w:p w14:paraId="7E3D0181" w14:textId="1FF20350" w:rsidR="008F590F" w:rsidRDefault="008F590F" w:rsidP="008F590F">
      <w:pPr>
        <w:pStyle w:val="Heading3"/>
      </w:pPr>
      <w:r>
        <w:t xml:space="preserve">Creating a Social Economy </w:t>
      </w:r>
    </w:p>
    <w:p w14:paraId="2275DEFE" w14:textId="0145A614" w:rsidR="008F590F" w:rsidRDefault="008F590F" w:rsidP="008F590F">
      <w:r>
        <w:t xml:space="preserve">From the 1980s, </w:t>
      </w:r>
      <w:r w:rsidR="00B66D88">
        <w:t xml:space="preserve">much of the </w:t>
      </w:r>
      <w:r>
        <w:t xml:space="preserve">voluntary, community and social enterprise sector, including cooperatives and mutuals, have </w:t>
      </w:r>
      <w:r w:rsidR="00C426AD">
        <w:t xml:space="preserve">been driven </w:t>
      </w:r>
      <w:r w:rsidR="00B66D88">
        <w:t xml:space="preserve">by </w:t>
      </w:r>
      <w:r w:rsidR="00C426AD">
        <w:t xml:space="preserve">managerialism and marketisation to </w:t>
      </w:r>
      <w:r>
        <w:t xml:space="preserve">become dependent </w:t>
      </w:r>
      <w:r w:rsidR="00C426AD">
        <w:t xml:space="preserve">on </w:t>
      </w:r>
      <w:r>
        <w:t>competitive tenders and contracts to deliver public services, in competition with the private sector. Unless there is a change in procurement procedures</w:t>
      </w:r>
      <w:r w:rsidR="00FB64D0">
        <w:t>,</w:t>
      </w:r>
      <w:r w:rsidR="00C426AD">
        <w:t xml:space="preserve"> </w:t>
      </w:r>
      <w:r>
        <w:t>this competition for public service delivery will intens</w:t>
      </w:r>
      <w:r w:rsidR="00FB64D0">
        <w:t>ify</w:t>
      </w:r>
      <w:r>
        <w:t>, especially with private tenders</w:t>
      </w:r>
      <w:r w:rsidR="003A3E50">
        <w:t>’</w:t>
      </w:r>
      <w:r>
        <w:t xml:space="preserve"> </w:t>
      </w:r>
      <w:r w:rsidR="00FB64D0">
        <w:t xml:space="preserve">using </w:t>
      </w:r>
      <w:r>
        <w:t>“self cleansing”</w:t>
      </w:r>
      <w:r w:rsidR="00FB64D0">
        <w:t xml:space="preserve"> procedures, which enable </w:t>
      </w:r>
      <w:r w:rsidR="003A3E50">
        <w:t xml:space="preserve">acknowledgement of </w:t>
      </w:r>
      <w:r>
        <w:t xml:space="preserve">previous mistakes, with an </w:t>
      </w:r>
      <w:r w:rsidR="003A3E50">
        <w:t xml:space="preserve">‘undertaking’ </w:t>
      </w:r>
      <w:r>
        <w:t xml:space="preserve">that these have now been rectified. </w:t>
      </w:r>
      <w:r w:rsidR="00FB64D0">
        <w:t xml:space="preserve">Procurement also </w:t>
      </w:r>
      <w:r>
        <w:t>need</w:t>
      </w:r>
      <w:r w:rsidR="00FB64D0">
        <w:t>s</w:t>
      </w:r>
      <w:r>
        <w:t xml:space="preserve"> to move away from </w:t>
      </w:r>
      <w:r w:rsidR="00FB64D0">
        <w:t xml:space="preserve">a </w:t>
      </w:r>
      <w:r>
        <w:t>“</w:t>
      </w:r>
      <w:r w:rsidR="00FB64D0">
        <w:t>s</w:t>
      </w:r>
      <w:r>
        <w:t xml:space="preserve">ocial </w:t>
      </w:r>
      <w:r w:rsidR="00FB64D0">
        <w:t>v</w:t>
      </w:r>
      <w:r>
        <w:t xml:space="preserve">alue” approach, </w:t>
      </w:r>
      <w:r w:rsidR="00FB64D0">
        <w:t xml:space="preserve">with </w:t>
      </w:r>
      <w:r w:rsidR="003A3E50">
        <w:t xml:space="preserve">scores </w:t>
      </w:r>
      <w:r>
        <w:t xml:space="preserve">‘adjusted’ </w:t>
      </w:r>
      <w:r w:rsidR="00FB64D0">
        <w:t xml:space="preserve">by offering </w:t>
      </w:r>
      <w:r>
        <w:t>more marks for social value. Successive evaluation</w:t>
      </w:r>
      <w:r w:rsidR="00FB64D0">
        <w:t>s</w:t>
      </w:r>
      <w:r>
        <w:t xml:space="preserve"> of the Public Service (Social Value) Act 2012 have shown that this approach </w:t>
      </w:r>
      <w:r w:rsidR="00FB64D0">
        <w:t xml:space="preserve">does not </w:t>
      </w:r>
      <w:r w:rsidR="006C71AD">
        <w:t xml:space="preserve">improve the bidding position of those offering greater public value. </w:t>
      </w:r>
    </w:p>
    <w:p w14:paraId="09C32FB7" w14:textId="65774369" w:rsidR="004A185C" w:rsidRDefault="004A185C" w:rsidP="004A185C">
      <w:pPr>
        <w:pStyle w:val="Heading3"/>
      </w:pPr>
      <w:r>
        <w:t>Delivery</w:t>
      </w:r>
    </w:p>
    <w:p w14:paraId="0BA5D257" w14:textId="77777777" w:rsidR="003A3E50" w:rsidRDefault="004A185C" w:rsidP="004A185C">
      <w:r>
        <w:t>Current policies of social investment</w:t>
      </w:r>
      <w:r w:rsidR="00FB64D0">
        <w:t xml:space="preserve"> </w:t>
      </w:r>
      <w:r>
        <w:t>subsidised by Big Lottery and Big Society Capital, using dormant bank accounts</w:t>
      </w:r>
      <w:r w:rsidR="00A33C06">
        <w:t>,</w:t>
      </w:r>
      <w:r w:rsidR="00FB64D0">
        <w:t xml:space="preserve"> and the Access Foundation’s “</w:t>
      </w:r>
      <w:r>
        <w:t>Power to Change</w:t>
      </w:r>
      <w:r w:rsidR="00FB64D0">
        <w:t>”</w:t>
      </w:r>
      <w:r w:rsidR="00A1659E">
        <w:t>,</w:t>
      </w:r>
      <w:r>
        <w:t xml:space="preserve"> based on third sector organisations</w:t>
      </w:r>
      <w:r w:rsidR="00A33C06">
        <w:t>’</w:t>
      </w:r>
      <w:r>
        <w:t xml:space="preserve"> accessing funding at near commercial rates</w:t>
      </w:r>
      <w:r w:rsidR="00A1659E">
        <w:t>,</w:t>
      </w:r>
      <w:r w:rsidR="00FB64D0">
        <w:t xml:space="preserve"> are </w:t>
      </w:r>
      <w:r w:rsidR="00A33C06">
        <w:t>in</w:t>
      </w:r>
      <w:r w:rsidR="00FB64D0">
        <w:t>appropriate</w:t>
      </w:r>
      <w:r>
        <w:t xml:space="preserve">. </w:t>
      </w:r>
    </w:p>
    <w:p w14:paraId="3BF8891E" w14:textId="55CF4563" w:rsidR="00FB64D0" w:rsidRDefault="00A1659E" w:rsidP="004A185C">
      <w:r>
        <w:lastRenderedPageBreak/>
        <w:t>“</w:t>
      </w:r>
      <w:r w:rsidR="004A185C">
        <w:t>Power to Change</w:t>
      </w:r>
      <w:r>
        <w:t>”</w:t>
      </w:r>
      <w:r w:rsidR="004A185C">
        <w:t xml:space="preserve"> and </w:t>
      </w:r>
      <w:r>
        <w:t xml:space="preserve">similar </w:t>
      </w:r>
      <w:r w:rsidR="004A185C">
        <w:t xml:space="preserve">programmes </w:t>
      </w:r>
      <w:r w:rsidR="003A3E50">
        <w:t xml:space="preserve">focus on </w:t>
      </w:r>
      <w:r w:rsidR="00A33C06">
        <w:t xml:space="preserve">a </w:t>
      </w:r>
      <w:r w:rsidR="004A185C">
        <w:t>communit</w:t>
      </w:r>
      <w:r w:rsidR="00A33C06">
        <w:t xml:space="preserve">y </w:t>
      </w:r>
      <w:r w:rsidR="004A185C">
        <w:t>business approach</w:t>
      </w:r>
      <w:r w:rsidR="003A3E50">
        <w:t>, rather than</w:t>
      </w:r>
      <w:r w:rsidR="00FB64D0">
        <w:t xml:space="preserve"> </w:t>
      </w:r>
      <w:r w:rsidR="004A185C">
        <w:t>the restoration of economic and social democracy</w:t>
      </w:r>
      <w:r w:rsidR="00FB64D0">
        <w:t xml:space="preserve"> and creating and </w:t>
      </w:r>
      <w:r w:rsidR="005B4D88">
        <w:t>restor</w:t>
      </w:r>
      <w:r w:rsidR="00FB64D0">
        <w:t>ing</w:t>
      </w:r>
      <w:r w:rsidR="005B4D88">
        <w:t xml:space="preserve"> jobs</w:t>
      </w:r>
      <w:r w:rsidR="00FB64D0">
        <w:t xml:space="preserve">. </w:t>
      </w:r>
    </w:p>
    <w:p w14:paraId="12C085C2" w14:textId="2F4C9BC8" w:rsidR="003E2DB9" w:rsidRDefault="005B4D88" w:rsidP="004A185C">
      <w:r>
        <w:t xml:space="preserve">Previous examples of local authority support </w:t>
      </w:r>
      <w:r w:rsidR="00FB64D0">
        <w:t xml:space="preserve">for a local social economy </w:t>
      </w:r>
      <w:r>
        <w:t xml:space="preserve">includes Greater London Council and Labour controlled Metropolitan County Councils, and individual </w:t>
      </w:r>
      <w:r w:rsidR="00FB64D0">
        <w:t>c</w:t>
      </w:r>
      <w:r>
        <w:t xml:space="preserve">ities like Sheffield, which prioritised job creation </w:t>
      </w:r>
      <w:r w:rsidR="00183C16">
        <w:t>and cooperatives</w:t>
      </w:r>
      <w:r w:rsidR="00A33C06">
        <w:t>.</w:t>
      </w:r>
      <w:r>
        <w:t xml:space="preserve"> Individual City Regions </w:t>
      </w:r>
      <w:r w:rsidR="00183C16">
        <w:t xml:space="preserve">and larger cities </w:t>
      </w:r>
      <w:r>
        <w:t xml:space="preserve">like Greater Manchester, Preston. Plymouth and Sheffield </w:t>
      </w:r>
      <w:r w:rsidR="00FB64D0">
        <w:t xml:space="preserve">are once more </w:t>
      </w:r>
      <w:r>
        <w:t>prioritis</w:t>
      </w:r>
      <w:r w:rsidR="00FB64D0">
        <w:t>ing c</w:t>
      </w:r>
      <w:r>
        <w:t xml:space="preserve">ooperatives </w:t>
      </w:r>
      <w:r w:rsidR="00A33C06">
        <w:t xml:space="preserve">by </w:t>
      </w:r>
      <w:r w:rsidR="00183C16">
        <w:t xml:space="preserve">setting up Cooperative Commissions </w:t>
      </w:r>
      <w:r>
        <w:t>and Community Wealth Building</w:t>
      </w:r>
      <w:r w:rsidR="00FB64D0">
        <w:t xml:space="preserve"> Units</w:t>
      </w:r>
      <w:r>
        <w:t xml:space="preserve">, though the latter </w:t>
      </w:r>
      <w:r w:rsidR="00A1659E">
        <w:t xml:space="preserve">are often </w:t>
      </w:r>
      <w:r w:rsidR="00A33C06">
        <w:t xml:space="preserve">resisted by </w:t>
      </w:r>
      <w:r>
        <w:t xml:space="preserve">trade unions since </w:t>
      </w:r>
      <w:r w:rsidR="00A1659E">
        <w:t xml:space="preserve">their </w:t>
      </w:r>
      <w:r>
        <w:t xml:space="preserve">delivery is sector neutral. </w:t>
      </w:r>
      <w:r w:rsidR="00183C16">
        <w:t xml:space="preserve"> Community Wealth Building has also been criticised </w:t>
      </w:r>
      <w:r w:rsidR="00A1659E">
        <w:t xml:space="preserve">as </w:t>
      </w:r>
      <w:r w:rsidR="00183C16">
        <w:t>“Chameleon Localism”</w:t>
      </w:r>
      <w:r w:rsidR="00FB64D0">
        <w:t xml:space="preserve"> </w:t>
      </w:r>
      <w:r w:rsidR="00FB64D0">
        <w:fldChar w:fldCharType="begin"/>
      </w:r>
      <w:r w:rsidR="00FB64D0">
        <w:instrText xml:space="preserve"> ADDIN ZOTERO_ITEM CSL_CITATION {"citationID":"AwIaMVzu","properties":{"formattedCitation":"(Gough and Eisenschitz, 2011)","plainCitation":"(Gough and Eisenschitz, 2011)","noteIndex":0},"citationItems":[{"id":24794,"uris":["http://zotero.org/users/3573029/items/LSUP9WGA"],"uri":["http://zotero.org/users/3573029/items/LSUP9WGA"],"itemData":{"id":24794,"type":"chapter","abstract":"Overview of local economic structures, including third sector","collection-title":"Routledge Handbooks","container-title":"Handbook of Local and Regional Development","edition":"2011","event-place":"Abingdon","ISBN":"978-0-415-54831-1","language":"en","note":"DOI: 10.4324/9780203842393-18","page":"595-617","publisher":"Routledge","publisher-place":"Abingdon","title":"Local Left Strategy Now","title-short":"Local Left Strategy","URL":"https://www.taylorfrancis.com/","author":[{"family":"Gough","given":"Jamie"},{"family":"Eisenschitz","given":"Aram"}],"accessed":{"date-parts":[["2018",12,28]]},"issued":{"date-parts":[["2011"]]}}}],"schema":"https://github.com/citation-style-language/schema/raw/master/csl-citation.json"} </w:instrText>
      </w:r>
      <w:r w:rsidR="00FB64D0">
        <w:fldChar w:fldCharType="separate"/>
      </w:r>
      <w:r w:rsidR="00FB64D0" w:rsidRPr="00FB64D0">
        <w:rPr>
          <w:rFonts w:ascii="Calibri" w:hAnsi="Calibri" w:cs="Calibri"/>
        </w:rPr>
        <w:t>(Gough and Eisenschitz, 2011)</w:t>
      </w:r>
      <w:r w:rsidR="00FB64D0">
        <w:fldChar w:fldCharType="end"/>
      </w:r>
      <w:r w:rsidR="00A1659E">
        <w:t>,</w:t>
      </w:r>
      <w:r w:rsidR="00622D52">
        <w:t xml:space="preserve"> </w:t>
      </w:r>
      <w:r w:rsidR="00183C16">
        <w:t xml:space="preserve">since it pits local communities against each other. If all local authorities seek to maximise local procurement, there will be few overall winners. </w:t>
      </w:r>
      <w:r w:rsidR="00E415A3">
        <w:t>Local authority economic development departments need expanded power</w:t>
      </w:r>
      <w:r w:rsidR="00A1659E">
        <w:t>s</w:t>
      </w:r>
      <w:r w:rsidR="00E415A3">
        <w:t xml:space="preserve"> to deliver </w:t>
      </w:r>
      <w:r w:rsidR="00A33C06">
        <w:t>these additional services</w:t>
      </w:r>
      <w:r w:rsidR="003A3E50">
        <w:t xml:space="preserve">, using </w:t>
      </w:r>
      <w:r w:rsidR="00E415A3">
        <w:t xml:space="preserve">existing expertise. For example, the </w:t>
      </w:r>
      <w:r w:rsidR="003A3E50">
        <w:t xml:space="preserve">Preston City Council </w:t>
      </w:r>
      <w:r w:rsidR="00E415A3">
        <w:t>and Liverpool Social Economy Forum already include expertise in local expansion and contribution</w:t>
      </w:r>
      <w:r w:rsidR="003A3E50">
        <w:t>s</w:t>
      </w:r>
      <w:r w:rsidR="00E415A3">
        <w:t xml:space="preserve"> by local initiatives. </w:t>
      </w:r>
    </w:p>
    <w:p w14:paraId="4C523CAC" w14:textId="599B74D6" w:rsidR="00E415A3" w:rsidRDefault="00E415A3" w:rsidP="004A185C">
      <w:r>
        <w:t>Since registration of new cooperatives is not easy, it may be necessary to revi</w:t>
      </w:r>
      <w:r w:rsidR="003E2DB9">
        <w:t>v</w:t>
      </w:r>
      <w:r>
        <w:t>e the Industrial Common Ownership Movement</w:t>
      </w:r>
      <w:r w:rsidR="003E2DB9">
        <w:t xml:space="preserve"> and ICOF</w:t>
      </w:r>
      <w:r>
        <w:t xml:space="preserve">, which registered </w:t>
      </w:r>
      <w:r w:rsidR="003E2DB9">
        <w:t xml:space="preserve">and funded </w:t>
      </w:r>
      <w:r>
        <w:t>most new cooperatives as Companies Limited by Guarantee during the 1980s and 1990s. During this period, following the 1976 Industrial Common Ownership Act and 1978 Cooperative Development Agency Act, according to various estimates, there were between 1500 and 2000 new common ownership cooperatives registered. Evidence from that time shows many of these as community responses to deindustrialisation rather than local communities seeking to become more ‘business like</w:t>
      </w:r>
      <w:r w:rsidR="00A33C06">
        <w:t>.</w:t>
      </w:r>
      <w:r>
        <w:t>’</w:t>
      </w:r>
      <w:r w:rsidR="00A33C06">
        <w:t xml:space="preserve"> </w:t>
      </w:r>
      <w:r>
        <w:t xml:space="preserve">Registrations of Community Interest Companies, B Corps or US equivalents of Benefit Corporations and L3C should not be encouraged since many of these </w:t>
      </w:r>
      <w:r w:rsidR="003E2DB9">
        <w:t xml:space="preserve">are exhibits </w:t>
      </w:r>
      <w:r>
        <w:t>of private sector ‘window dressing’</w:t>
      </w:r>
    </w:p>
    <w:p w14:paraId="67E86FFE" w14:textId="4E1D7039" w:rsidR="00A1659E" w:rsidRDefault="00A1659E" w:rsidP="00A1659E">
      <w:pPr>
        <w:pStyle w:val="Heading3"/>
      </w:pPr>
      <w:r>
        <w:t xml:space="preserve">References </w:t>
      </w:r>
    </w:p>
    <w:p w14:paraId="6A004025" w14:textId="77777777" w:rsidR="003A3E50" w:rsidRPr="003A3E50" w:rsidRDefault="00A1659E" w:rsidP="003A3E50">
      <w:pPr>
        <w:pStyle w:val="Bibliography"/>
        <w:rPr>
          <w:rFonts w:ascii="Calibri" w:hAnsi="Calibri" w:cs="Calibri"/>
        </w:rPr>
      </w:pPr>
      <w:r>
        <w:fldChar w:fldCharType="begin"/>
      </w:r>
      <w:r>
        <w:instrText xml:space="preserve"> ADDIN ZOTERO_BIBL {"uncited":[],"omitted":[],"custom":[]} CSL_BIBLIOGRAPHY </w:instrText>
      </w:r>
      <w:r>
        <w:fldChar w:fldCharType="separate"/>
      </w:r>
      <w:r w:rsidR="003A3E50" w:rsidRPr="003A3E50">
        <w:rPr>
          <w:rFonts w:ascii="Calibri" w:hAnsi="Calibri" w:cs="Calibri"/>
        </w:rPr>
        <w:t>Bentham, J., Bowman, A., Ertürk, I., Folkman, P., Froud, J., Johal, S., Law, J., Leaver, A., Moran, M., Williams, K., 2013. Manifesto for the Foundational Economy (CRESC Working Paper No. Working Paper No 131). Centre for Research on Socio Cultural Change, Manchester.</w:t>
      </w:r>
    </w:p>
    <w:p w14:paraId="26A9A8F4" w14:textId="77777777" w:rsidR="003A3E50" w:rsidRPr="003A3E50" w:rsidRDefault="003A3E50" w:rsidP="003A3E50">
      <w:pPr>
        <w:pStyle w:val="Bibliography"/>
        <w:rPr>
          <w:rFonts w:ascii="Calibri" w:hAnsi="Calibri" w:cs="Calibri"/>
        </w:rPr>
      </w:pPr>
      <w:r w:rsidRPr="003A3E50">
        <w:rPr>
          <w:rFonts w:ascii="Calibri" w:hAnsi="Calibri" w:cs="Calibri"/>
        </w:rPr>
        <w:t>CDP Inter Project Editorial Team, 1977. Gilding the Ghetto: The State and Poverty Experiments. Home Office;, London.</w:t>
      </w:r>
    </w:p>
    <w:p w14:paraId="55C3667D" w14:textId="77777777" w:rsidR="003A3E50" w:rsidRPr="003A3E50" w:rsidRDefault="003A3E50" w:rsidP="003A3E50">
      <w:pPr>
        <w:pStyle w:val="Bibliography"/>
        <w:rPr>
          <w:rFonts w:ascii="Calibri" w:hAnsi="Calibri" w:cs="Calibri"/>
        </w:rPr>
      </w:pPr>
      <w:r w:rsidRPr="003A3E50">
        <w:rPr>
          <w:rFonts w:ascii="Calibri" w:hAnsi="Calibri" w:cs="Calibri"/>
        </w:rPr>
        <w:t>Foundational Economy Collective, 2018. Foundational Economy: The Infrastructure of Everyday Life, 2018th ed. Manchester University Press, Manchester.</w:t>
      </w:r>
    </w:p>
    <w:p w14:paraId="443FBF0C" w14:textId="77777777" w:rsidR="003A3E50" w:rsidRPr="003A3E50" w:rsidRDefault="003A3E50" w:rsidP="003A3E50">
      <w:pPr>
        <w:pStyle w:val="Bibliography"/>
        <w:rPr>
          <w:rFonts w:ascii="Calibri" w:hAnsi="Calibri" w:cs="Calibri"/>
        </w:rPr>
      </w:pPr>
      <w:r w:rsidRPr="003A3E50">
        <w:rPr>
          <w:rFonts w:ascii="Calibri" w:hAnsi="Calibri" w:cs="Calibri"/>
        </w:rPr>
        <w:t>Gough, J., Eisenschitz, A., 2011. Local Left Strategy Now, in: Handbook of Local and Regional Development, Routledge Handbooks. Routledge, Abingdon, pp. 595–617. https://doi.org/10.4324/9780203842393-18</w:t>
      </w:r>
    </w:p>
    <w:p w14:paraId="5C910FF1" w14:textId="77777777" w:rsidR="003A3E50" w:rsidRPr="003A3E50" w:rsidRDefault="003A3E50" w:rsidP="003A3E50">
      <w:pPr>
        <w:pStyle w:val="Bibliography"/>
        <w:rPr>
          <w:rFonts w:ascii="Calibri" w:hAnsi="Calibri" w:cs="Calibri"/>
        </w:rPr>
      </w:pPr>
      <w:r w:rsidRPr="003A3E50">
        <w:rPr>
          <w:rFonts w:ascii="Calibri" w:hAnsi="Calibri" w:cs="Calibri"/>
        </w:rPr>
        <w:t>Guinan, J., Leibowitz, J., McInroy, N., McKinley, S., 2020. Owning the Future: After Covid-19, a New Era or Community Wealth Building [WWW Document]. CLES. URL https://cles.org.uk/wp-content/uploads/2020/04/Owning-the-future-FINAL3.pdf (accessed 4.20.20).</w:t>
      </w:r>
    </w:p>
    <w:p w14:paraId="441D6F8F" w14:textId="77777777" w:rsidR="003A3E50" w:rsidRPr="003A3E50" w:rsidRDefault="003A3E50" w:rsidP="003A3E50">
      <w:pPr>
        <w:pStyle w:val="Bibliography"/>
        <w:rPr>
          <w:rFonts w:ascii="Calibri" w:hAnsi="Calibri" w:cs="Calibri"/>
        </w:rPr>
      </w:pPr>
      <w:r w:rsidRPr="003A3E50">
        <w:rPr>
          <w:rFonts w:ascii="Calibri" w:hAnsi="Calibri" w:cs="Calibri"/>
        </w:rPr>
        <w:t>Office for Budget Responsibility, 2020. Coronavirus Reference Scenario [WWW Document]. Off. Budg. Responsib. URL https://obr.uk/coronavirus-reference-scenario/ (accessed 4.20.20).</w:t>
      </w:r>
    </w:p>
    <w:p w14:paraId="65CF9733" w14:textId="7BE90945" w:rsidR="00A1659E" w:rsidRPr="004A185C" w:rsidRDefault="003A3E50" w:rsidP="00A33C06">
      <w:pPr>
        <w:pStyle w:val="Bibliography"/>
      </w:pPr>
      <w:r w:rsidRPr="003A3E50">
        <w:rPr>
          <w:rFonts w:ascii="Calibri" w:hAnsi="Calibri" w:cs="Calibri"/>
        </w:rPr>
        <w:t>Thake, S., Zadek, S., 1997. Practical People, Nobel Causes: How to Support Community Based Social Entrepreneurs. New Econ. Found. 1997.</w:t>
      </w:r>
      <w:r>
        <w:rPr>
          <w:rFonts w:ascii="Calibri" w:hAnsi="Calibri" w:cs="Calibri"/>
        </w:rPr>
        <w:t xml:space="preserve">   </w:t>
      </w:r>
      <w:r w:rsidR="00A1659E">
        <w:fldChar w:fldCharType="end"/>
      </w:r>
    </w:p>
    <w:sectPr w:rsidR="00A1659E" w:rsidRPr="004A18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BCC4" w14:textId="77777777" w:rsidR="00247857" w:rsidRDefault="00247857" w:rsidP="00622D52">
      <w:pPr>
        <w:spacing w:before="0" w:after="0"/>
      </w:pPr>
      <w:r>
        <w:separator/>
      </w:r>
    </w:p>
  </w:endnote>
  <w:endnote w:type="continuationSeparator" w:id="0">
    <w:p w14:paraId="37A8B114" w14:textId="77777777" w:rsidR="00247857" w:rsidRDefault="00247857" w:rsidP="00622D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EA6A" w14:textId="59E649AB" w:rsidR="00622D52" w:rsidRDefault="00622D52">
    <w:pPr>
      <w:pStyle w:val="Footer"/>
    </w:pPr>
    <w:r w:rsidRPr="0075036B">
      <w:rPr>
        <w:noProof/>
      </w:rPr>
      <mc:AlternateContent>
        <mc:Choice Requires="wpg">
          <w:drawing>
            <wp:anchor distT="0" distB="0" distL="114300" distR="114300" simplePos="0" relativeHeight="251659264" behindDoc="0" locked="0" layoutInCell="1" allowOverlap="1" wp14:anchorId="55B3EC37" wp14:editId="7279E414">
              <wp:simplePos x="0" y="0"/>
              <wp:positionH relativeFrom="margin">
                <wp:posOffset>19050</wp:posOffset>
              </wp:positionH>
              <wp:positionV relativeFrom="line">
                <wp:posOffset>175260</wp:posOffset>
              </wp:positionV>
              <wp:extent cx="5682615" cy="365760"/>
              <wp:effectExtent l="19050" t="0" r="13335" b="5334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365760"/>
                        <a:chOff x="321" y="14850"/>
                        <a:chExt cx="11601" cy="617"/>
                      </a:xfrm>
                    </wpg:grpSpPr>
                    <wps:wsp>
                      <wps:cNvPr id="10" name="Rectangle 6"/>
                      <wps:cNvSpPr>
                        <a:spLocks noChangeArrowheads="1"/>
                      </wps:cNvSpPr>
                      <wps:spPr bwMode="auto">
                        <a:xfrm>
                          <a:off x="321" y="14903"/>
                          <a:ext cx="9399" cy="56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88D6421" w14:textId="2F759062" w:rsidR="00622D52" w:rsidRPr="00F72BCF" w:rsidRDefault="00622D52" w:rsidP="00622D52">
                            <w:pPr>
                              <w:pStyle w:val="Footer"/>
                              <w:rPr>
                                <w:rFonts w:ascii="Calibri"/>
                                <w:b/>
                                <w:color w:val="FFFFFF"/>
                              </w:rPr>
                            </w:pPr>
                            <w:r>
                              <w:rPr>
                                <w:rFonts w:ascii="Calibri"/>
                                <w:b/>
                                <w:color w:val="FFFFFF"/>
                              </w:rPr>
                              <w:t xml:space="preserve">AIZLEWOOD GROUP DRAFT </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9763" y="14903"/>
                          <a:ext cx="2102" cy="56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3471A6F" w14:textId="77777777" w:rsidR="00622D52" w:rsidRPr="0075036B" w:rsidRDefault="00622D52" w:rsidP="00622D52">
                            <w:pPr>
                              <w:pStyle w:val="Footer"/>
                              <w:tabs>
                                <w:tab w:val="left" w:pos="426"/>
                              </w:tabs>
                              <w:ind w:right="15"/>
                              <w:jc w:val="right"/>
                              <w:rPr>
                                <w:rFonts w:ascii="Calibri"/>
                                <w:b/>
                                <w:color w:val="FFFFFF"/>
                              </w:rPr>
                            </w:pPr>
                            <w:r w:rsidRPr="0075036B">
                              <w:rPr>
                                <w:rFonts w:ascii="Calibri"/>
                                <w:b/>
                                <w:color w:val="FFFFFF"/>
                              </w:rPr>
                              <w:t xml:space="preserve">PAGE  </w:t>
                            </w:r>
                            <w:r w:rsidRPr="0075036B">
                              <w:rPr>
                                <w:rFonts w:ascii="Calibri"/>
                                <w:b/>
                                <w:color w:val="FFFFFF"/>
                              </w:rPr>
                              <w:fldChar w:fldCharType="begin"/>
                            </w:r>
                            <w:r w:rsidRPr="0075036B">
                              <w:rPr>
                                <w:rFonts w:ascii="Calibri"/>
                                <w:b/>
                                <w:color w:val="FFFFFF"/>
                              </w:rPr>
                              <w:instrText xml:space="preserve"> PAGE   \* MERGEFORMAT </w:instrText>
                            </w:r>
                            <w:r w:rsidRPr="0075036B">
                              <w:rPr>
                                <w:rFonts w:ascii="Calibri"/>
                                <w:b/>
                                <w:color w:val="FFFFFF"/>
                              </w:rPr>
                              <w:fldChar w:fldCharType="separate"/>
                            </w:r>
                            <w:r>
                              <w:rPr>
                                <w:rFonts w:ascii="Calibri"/>
                                <w:b/>
                                <w:noProof/>
                                <w:color w:val="FFFFFF"/>
                              </w:rPr>
                              <w:t>19</w:t>
                            </w:r>
                            <w:r w:rsidRPr="0075036B">
                              <w:rPr>
                                <w:rFonts w:ascii="Calibri"/>
                                <w:b/>
                                <w:color w:val="FFFFFF"/>
                              </w:rPr>
                              <w:fldChar w:fldCharType="end"/>
                            </w:r>
                          </w:p>
                        </w:txbxContent>
                      </wps:txbx>
                      <wps:bodyPr rot="0" vert="horz" wrap="square" lIns="91440" tIns="45720" rIns="91440" bIns="45720" anchor="t" anchorCtr="0" upright="1">
                        <a:noAutofit/>
                      </wps:bodyPr>
                    </wps:wsp>
                    <wps:wsp>
                      <wps:cNvPr id="12"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3EC37" id="Group 9" o:spid="_x0000_s1026" style="position:absolute;left:0;text-align:left;margin-left:1.5pt;margin-top:13.8pt;width:447.45pt;height:28.8pt;z-index:251659264;mso-position-horizontal-relative:margin;mso-position-vertical-relative:line" coordorigin="321,14850" coordsize="1160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">
              <v:rect id="Rectangle 6" o:spid="_x0000_s1027" style="position:absolute;left:321;top:14903;width:939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" fillcolor="#4f81bd" strokecolor="#f2f2f2" strokeweight="3pt">
                <v:shadow on="t" color="#243f60" opacity=".5" offset="1pt"/>
                <v:textbox>
                  <w:txbxContent>
                    <w:p w14:paraId="388D6421" w14:textId="2F759062" w:rsidR="00622D52" w:rsidRPr="00F72BCF" w:rsidRDefault="00622D52" w:rsidP="00622D52">
                      <w:pPr>
                        <w:pStyle w:val="Footer"/>
                        <w:rPr>
                          <w:rFonts w:ascii="Calibri"/>
                          <w:b/>
                          <w:color w:val="FFFFFF"/>
                        </w:rPr>
                      </w:pPr>
                      <w:r>
                        <w:rPr>
                          <w:rFonts w:ascii="Calibri"/>
                          <w:b/>
                          <w:color w:val="FFFFFF"/>
                        </w:rPr>
                        <w:t xml:space="preserve">AIZLEWOOD GROUP DRAFT </w:t>
                      </w:r>
                    </w:p>
                  </w:txbxContent>
                </v:textbox>
              </v:rect>
              <v:rect id="Rectangle 7" o:spid="_x0000_s1028" style="position:absolute;left:9763;top:14903;width:210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" fillcolor="#4f81bd" strokecolor="#f2f2f2" strokeweight="3pt">
                <v:shadow on="t" color="#243f60" opacity=".5" offset="1pt"/>
                <v:textbox>
                  <w:txbxContent>
                    <w:p w14:paraId="23471A6F" w14:textId="77777777" w:rsidR="00622D52" w:rsidRPr="0075036B" w:rsidRDefault="00622D52" w:rsidP="00622D52">
                      <w:pPr>
                        <w:pStyle w:val="Footer"/>
                        <w:tabs>
                          <w:tab w:val="left" w:pos="426"/>
                        </w:tabs>
                        <w:ind w:right="15"/>
                        <w:jc w:val="right"/>
                        <w:rPr>
                          <w:rFonts w:ascii="Calibri"/>
                          <w:b/>
                          <w:color w:val="FFFFFF"/>
                        </w:rPr>
                      </w:pPr>
                      <w:r w:rsidRPr="0075036B">
                        <w:rPr>
                          <w:rFonts w:ascii="Calibri"/>
                          <w:b/>
                          <w:color w:val="FFFFFF"/>
                        </w:rPr>
                        <w:t xml:space="preserve">PAGE  </w:t>
                      </w:r>
                      <w:r w:rsidRPr="0075036B">
                        <w:rPr>
                          <w:rFonts w:ascii="Calibri"/>
                          <w:b/>
                          <w:color w:val="FFFFFF"/>
                        </w:rPr>
                        <w:fldChar w:fldCharType="begin"/>
                      </w:r>
                      <w:r w:rsidRPr="0075036B">
                        <w:rPr>
                          <w:rFonts w:ascii="Calibri"/>
                          <w:b/>
                          <w:color w:val="FFFFFF"/>
                        </w:rPr>
                        <w:instrText xml:space="preserve"> PAGE   \* MERGEFORMAT </w:instrText>
                      </w:r>
                      <w:r w:rsidRPr="0075036B">
                        <w:rPr>
                          <w:rFonts w:ascii="Calibri"/>
                          <w:b/>
                          <w:color w:val="FFFFFF"/>
                        </w:rPr>
                        <w:fldChar w:fldCharType="separate"/>
                      </w:r>
                      <w:r>
                        <w:rPr>
                          <w:rFonts w:ascii="Calibri"/>
                          <w:b/>
                          <w:noProof/>
                          <w:color w:val="FFFFFF"/>
                        </w:rPr>
                        <w:t>19</w:t>
                      </w:r>
                      <w:r w:rsidRPr="0075036B">
                        <w:rPr>
                          <w:rFonts w:ascii="Calibri"/>
                          <w:b/>
                          <w:color w:val="FFFFFF"/>
                        </w:rPr>
                        <w:fldChar w:fldCharType="end"/>
                      </w:r>
                    </w:p>
                  </w:txbxContent>
                </v:textbox>
              </v:rect>
              <v:rect id="Rectangle 8"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opAndBottom" anchorx="margin" anchory="line"/>
            </v:group>
          </w:pict>
        </mc:Fallback>
      </mc:AlternateContent>
    </w:r>
  </w:p>
  <w:p w14:paraId="53FEC545" w14:textId="77777777" w:rsidR="00622D52" w:rsidRDefault="006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4F0D" w14:textId="77777777" w:rsidR="00247857" w:rsidRDefault="00247857" w:rsidP="00622D52">
      <w:pPr>
        <w:spacing w:before="0" w:after="0"/>
      </w:pPr>
      <w:r>
        <w:separator/>
      </w:r>
    </w:p>
  </w:footnote>
  <w:footnote w:type="continuationSeparator" w:id="0">
    <w:p w14:paraId="6DCFB27B" w14:textId="77777777" w:rsidR="00247857" w:rsidRDefault="00247857" w:rsidP="00622D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44D7" w14:textId="039CC2DF" w:rsidR="00622D52" w:rsidRDefault="00622D52">
    <w:pPr>
      <w:pStyle w:val="Header"/>
    </w:pPr>
  </w:p>
  <w:tbl>
    <w:tblPr>
      <w:tblW w:w="5000" w:type="pct"/>
      <w:tblInd w:w="-27" w:type="dxa"/>
      <w:tblBorders>
        <w:top w:val="single" w:sz="4" w:space="0" w:color="000000"/>
        <w:left w:val="single" w:sz="4" w:space="0" w:color="000000"/>
        <w:bottom w:val="single" w:sz="4" w:space="0" w:color="000000"/>
        <w:right w:val="single" w:sz="4" w:space="0" w:color="000000"/>
      </w:tblBorders>
      <w:tblCellMar>
        <w:top w:w="72" w:type="dxa"/>
        <w:left w:w="115" w:type="dxa"/>
        <w:bottom w:w="72" w:type="dxa"/>
        <w:right w:w="115" w:type="dxa"/>
      </w:tblCellMar>
      <w:tblLook w:val="0000" w:firstRow="0" w:lastRow="0" w:firstColumn="0" w:lastColumn="0" w:noHBand="0" w:noVBand="0"/>
    </w:tblPr>
    <w:tblGrid>
      <w:gridCol w:w="5570"/>
      <w:gridCol w:w="3446"/>
    </w:tblGrid>
    <w:tr w:rsidR="00622D52" w14:paraId="36ECA7DE" w14:textId="77777777" w:rsidTr="005C758B">
      <w:trPr>
        <w:trHeight w:val="226"/>
      </w:trPr>
      <w:tc>
        <w:tcPr>
          <w:tcW w:w="5268" w:type="dxa"/>
          <w:shd w:val="clear" w:color="000000" w:fill="4F81BD"/>
          <w:vAlign w:val="bottom"/>
        </w:tcPr>
        <w:p w14:paraId="7DB0AA98" w14:textId="69806BFB" w:rsidR="00622D52" w:rsidRPr="00B06E0C" w:rsidRDefault="00622D52" w:rsidP="00622D52">
          <w:pPr>
            <w:spacing w:before="0" w:after="0"/>
            <w:rPr>
              <w:b/>
              <w:bCs/>
              <w:color w:val="4F81BD"/>
            </w:rPr>
          </w:pPr>
          <w:r>
            <w:rPr>
              <w:rFonts w:cs="Frutiger-Light"/>
              <w:b/>
              <w:color w:val="FFFFFF"/>
              <w:sz w:val="24"/>
              <w:szCs w:val="24"/>
            </w:rPr>
            <w:t xml:space="preserve">RESCUE PROGRAMME FOR LOCAL COMMUNITIES </w:t>
          </w:r>
        </w:p>
      </w:tc>
      <w:tc>
        <w:tcPr>
          <w:tcW w:w="3259" w:type="dxa"/>
          <w:shd w:val="clear" w:color="000000" w:fill="4F81BD"/>
          <w:vAlign w:val="bottom"/>
        </w:tcPr>
        <w:p w14:paraId="7D8D75C9" w14:textId="0024FFA3" w:rsidR="00622D52" w:rsidRDefault="00622D52" w:rsidP="00622D52">
          <w:pPr>
            <w:pStyle w:val="Header"/>
            <w:tabs>
              <w:tab w:val="clear" w:pos="4513"/>
              <w:tab w:val="left" w:pos="2997"/>
              <w:tab w:val="left" w:pos="3997"/>
            </w:tabs>
            <w:ind w:right="-115"/>
            <w:jc w:val="center"/>
            <w:rPr>
              <w:b/>
              <w:color w:val="002060"/>
            </w:rPr>
          </w:pPr>
          <w:r>
            <w:rPr>
              <w:b/>
              <w:color w:val="FFFFFF"/>
            </w:rPr>
            <w:t xml:space="preserve">MONDAY 20 APRIL 2020 </w:t>
          </w:r>
        </w:p>
      </w:tc>
    </w:tr>
  </w:tbl>
  <w:p w14:paraId="0B6EC841" w14:textId="77777777" w:rsidR="00622D52" w:rsidRDefault="006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74B846"/>
    <w:lvl w:ilvl="0">
      <w:start w:val="1"/>
      <w:numFmt w:val="bullet"/>
      <w:pStyle w:val="ListBullet"/>
      <w:lvlText w:val=""/>
      <w:lvlJc w:val="left"/>
      <w:pPr>
        <w:ind w:left="1437" w:hanging="360"/>
      </w:pPr>
      <w:rPr>
        <w:rFonts w:ascii="Symbol" w:hAnsi="Symbol" w:hint="default"/>
      </w:rPr>
    </w:lvl>
  </w:abstractNum>
  <w:abstractNum w:abstractNumId="1" w15:restartNumberingAfterBreak="0">
    <w:nsid w:val="07351EB3"/>
    <w:multiLevelType w:val="hybridMultilevel"/>
    <w:tmpl w:val="5CF23456"/>
    <w:lvl w:ilvl="0" w:tplc="54800924">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212773A"/>
    <w:multiLevelType w:val="hybridMultilevel"/>
    <w:tmpl w:val="8A4C062C"/>
    <w:lvl w:ilvl="0" w:tplc="42F8AB4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894CC9"/>
    <w:multiLevelType w:val="hybridMultilevel"/>
    <w:tmpl w:val="DE96D97E"/>
    <w:lvl w:ilvl="0" w:tplc="0F9876E2">
      <w:start w:val="1"/>
      <w:numFmt w:val="decimal"/>
      <w:pStyle w:val="Styl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E3"/>
    <w:rsid w:val="00046B7A"/>
    <w:rsid w:val="00124040"/>
    <w:rsid w:val="00127E98"/>
    <w:rsid w:val="00182825"/>
    <w:rsid w:val="00183C16"/>
    <w:rsid w:val="001D687E"/>
    <w:rsid w:val="00247857"/>
    <w:rsid w:val="00326D02"/>
    <w:rsid w:val="003A3E50"/>
    <w:rsid w:val="003E2DB9"/>
    <w:rsid w:val="00495F77"/>
    <w:rsid w:val="004A185C"/>
    <w:rsid w:val="004F5F8D"/>
    <w:rsid w:val="00504824"/>
    <w:rsid w:val="0054403E"/>
    <w:rsid w:val="00581CED"/>
    <w:rsid w:val="005851B3"/>
    <w:rsid w:val="005A6C2E"/>
    <w:rsid w:val="005B4D88"/>
    <w:rsid w:val="005E4953"/>
    <w:rsid w:val="00622D52"/>
    <w:rsid w:val="006718BD"/>
    <w:rsid w:val="0069507D"/>
    <w:rsid w:val="006C71AD"/>
    <w:rsid w:val="00733CE2"/>
    <w:rsid w:val="007E75B0"/>
    <w:rsid w:val="00803EE3"/>
    <w:rsid w:val="008170EC"/>
    <w:rsid w:val="00832C26"/>
    <w:rsid w:val="008D0A14"/>
    <w:rsid w:val="008F590F"/>
    <w:rsid w:val="009E1538"/>
    <w:rsid w:val="00A1659E"/>
    <w:rsid w:val="00A33C06"/>
    <w:rsid w:val="00A95D22"/>
    <w:rsid w:val="00B66D88"/>
    <w:rsid w:val="00B94782"/>
    <w:rsid w:val="00C35E31"/>
    <w:rsid w:val="00C426AD"/>
    <w:rsid w:val="00C52289"/>
    <w:rsid w:val="00CC751D"/>
    <w:rsid w:val="00CE7AEE"/>
    <w:rsid w:val="00DA33F3"/>
    <w:rsid w:val="00E04AD1"/>
    <w:rsid w:val="00E415A3"/>
    <w:rsid w:val="00E55BE5"/>
    <w:rsid w:val="00E57E9D"/>
    <w:rsid w:val="00E82B5F"/>
    <w:rsid w:val="00FB64D0"/>
    <w:rsid w:val="00FF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66CB"/>
  <w15:chartTrackingRefBased/>
  <w15:docId w15:val="{6F90BC8E-883D-4D86-8658-A5D40859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0F"/>
    <w:pPr>
      <w:spacing w:before="240" w:after="240" w:line="240" w:lineRule="auto"/>
      <w:jc w:val="both"/>
    </w:pPr>
  </w:style>
  <w:style w:type="paragraph" w:styleId="Heading2">
    <w:name w:val="heading 2"/>
    <w:basedOn w:val="Normal"/>
    <w:next w:val="Normal"/>
    <w:link w:val="Heading2Char"/>
    <w:uiPriority w:val="9"/>
    <w:unhideWhenUsed/>
    <w:qFormat/>
    <w:rsid w:val="00803E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3EE3"/>
    <w:pPr>
      <w:keepNext/>
      <w:keepLines/>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autoRedefine/>
    <w:qFormat/>
    <w:rsid w:val="00046B7A"/>
    <w:pPr>
      <w:spacing w:before="120" w:after="240" w:line="240" w:lineRule="auto"/>
      <w:jc w:val="both"/>
    </w:pPr>
    <w:rPr>
      <w:rFonts w:ascii="Calibri" w:eastAsia="Calibri" w:hAnsi="Calibri" w:cs="Arial"/>
      <w:szCs w:val="24"/>
      <w:lang w:eastAsia="en-GB"/>
    </w:rPr>
  </w:style>
  <w:style w:type="paragraph" w:styleId="ListParagraph">
    <w:name w:val="List Paragraph"/>
    <w:basedOn w:val="Normal"/>
    <w:autoRedefine/>
    <w:uiPriority w:val="34"/>
    <w:qFormat/>
    <w:rsid w:val="00E04AD1"/>
    <w:pPr>
      <w:numPr>
        <w:numId w:val="6"/>
      </w:numPr>
      <w:spacing w:before="120"/>
    </w:pPr>
    <w:rPr>
      <w:rFonts w:eastAsia="Calibri" w:cs="Times New Roman"/>
    </w:rPr>
  </w:style>
  <w:style w:type="paragraph" w:styleId="ListBullet">
    <w:name w:val="List Bullet"/>
    <w:basedOn w:val="Normal"/>
    <w:autoRedefine/>
    <w:uiPriority w:val="99"/>
    <w:unhideWhenUsed/>
    <w:qFormat/>
    <w:rsid w:val="00E82B5F"/>
    <w:pPr>
      <w:numPr>
        <w:numId w:val="4"/>
      </w:numPr>
      <w:spacing w:before="120"/>
      <w:mirrorIndents/>
    </w:pPr>
    <w:rPr>
      <w:rFonts w:ascii="Calibri" w:eastAsia="Calibri" w:hAnsi="Calibri" w:cs="Times New Roman"/>
      <w:szCs w:val="20"/>
      <w:lang w:eastAsia="en-GB"/>
    </w:rPr>
  </w:style>
  <w:style w:type="paragraph" w:customStyle="1" w:styleId="PlainHeading">
    <w:name w:val="Plain Heading"/>
    <w:basedOn w:val="Normal"/>
    <w:autoRedefine/>
    <w:qFormat/>
    <w:rsid w:val="00326D02"/>
    <w:pPr>
      <w:spacing w:before="120" w:after="360"/>
      <w:outlineLvl w:val="0"/>
    </w:pPr>
    <w:rPr>
      <w:rFonts w:ascii="Calibri" w:eastAsia="Calibri" w:hAnsi="Calibri" w:cs="Times New Roman"/>
      <w:b/>
      <w:color w:val="008080"/>
      <w:sz w:val="28"/>
    </w:rPr>
  </w:style>
  <w:style w:type="paragraph" w:customStyle="1" w:styleId="Style4">
    <w:name w:val="Style4"/>
    <w:basedOn w:val="Heading3"/>
    <w:autoRedefine/>
    <w:qFormat/>
    <w:rsid w:val="00326D02"/>
    <w:pPr>
      <w:numPr>
        <w:numId w:val="5"/>
      </w:numPr>
      <w:spacing w:before="120" w:after="360"/>
      <w:outlineLvl w:val="1"/>
    </w:pPr>
    <w:rPr>
      <w:rFonts w:ascii="Calibri" w:eastAsia="Times New Roman" w:hAnsi="Calibri" w:cs="Times New Roman"/>
      <w:b w:val="0"/>
      <w:bCs/>
      <w:color w:val="002060"/>
      <w:sz w:val="28"/>
      <w:szCs w:val="26"/>
    </w:rPr>
  </w:style>
  <w:style w:type="character" w:customStyle="1" w:styleId="Heading3Char">
    <w:name w:val="Heading 3 Char"/>
    <w:basedOn w:val="DefaultParagraphFont"/>
    <w:link w:val="Heading3"/>
    <w:uiPriority w:val="9"/>
    <w:rsid w:val="00803EE3"/>
    <w:rPr>
      <w:rFonts w:asciiTheme="majorHAnsi" w:eastAsiaTheme="majorEastAsia" w:hAnsiTheme="majorHAnsi" w:cstheme="majorBidi"/>
      <w:b/>
      <w:color w:val="1F3763" w:themeColor="accent1" w:themeShade="7F"/>
      <w:sz w:val="24"/>
      <w:szCs w:val="24"/>
    </w:rPr>
  </w:style>
  <w:style w:type="character" w:customStyle="1" w:styleId="Heading2Char">
    <w:name w:val="Heading 2 Char"/>
    <w:basedOn w:val="DefaultParagraphFont"/>
    <w:link w:val="Heading2"/>
    <w:uiPriority w:val="9"/>
    <w:rsid w:val="00803EE3"/>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B94782"/>
    <w:pPr>
      <w:ind w:left="862" w:right="862"/>
    </w:pPr>
    <w:rPr>
      <w:i/>
      <w:iCs/>
      <w:color w:val="404040" w:themeColor="text1" w:themeTint="BF"/>
    </w:rPr>
  </w:style>
  <w:style w:type="character" w:customStyle="1" w:styleId="QuoteChar">
    <w:name w:val="Quote Char"/>
    <w:basedOn w:val="DefaultParagraphFont"/>
    <w:link w:val="Quote"/>
    <w:uiPriority w:val="29"/>
    <w:rsid w:val="00B94782"/>
    <w:rPr>
      <w:i/>
      <w:iCs/>
      <w:color w:val="404040" w:themeColor="text1" w:themeTint="BF"/>
    </w:rPr>
  </w:style>
  <w:style w:type="paragraph" w:styleId="Header">
    <w:name w:val="header"/>
    <w:aliases w:val="Footer1"/>
    <w:basedOn w:val="Normal"/>
    <w:link w:val="HeaderChar"/>
    <w:uiPriority w:val="99"/>
    <w:unhideWhenUsed/>
    <w:rsid w:val="00622D52"/>
    <w:pPr>
      <w:tabs>
        <w:tab w:val="center" w:pos="4513"/>
        <w:tab w:val="right" w:pos="9026"/>
      </w:tabs>
      <w:spacing w:before="0" w:after="0"/>
    </w:pPr>
  </w:style>
  <w:style w:type="character" w:customStyle="1" w:styleId="HeaderChar">
    <w:name w:val="Header Char"/>
    <w:aliases w:val="Footer1 Char1"/>
    <w:basedOn w:val="DefaultParagraphFont"/>
    <w:link w:val="Header"/>
    <w:uiPriority w:val="99"/>
    <w:rsid w:val="00622D52"/>
  </w:style>
  <w:style w:type="paragraph" w:styleId="Footer">
    <w:name w:val="footer"/>
    <w:basedOn w:val="Normal"/>
    <w:link w:val="FooterChar"/>
    <w:uiPriority w:val="99"/>
    <w:unhideWhenUsed/>
    <w:rsid w:val="00622D52"/>
    <w:pPr>
      <w:tabs>
        <w:tab w:val="center" w:pos="4513"/>
        <w:tab w:val="right" w:pos="9026"/>
      </w:tabs>
      <w:spacing w:before="0" w:after="0"/>
    </w:pPr>
  </w:style>
  <w:style w:type="character" w:customStyle="1" w:styleId="FooterChar">
    <w:name w:val="Footer Char"/>
    <w:basedOn w:val="DefaultParagraphFont"/>
    <w:link w:val="Footer"/>
    <w:uiPriority w:val="99"/>
    <w:rsid w:val="00622D52"/>
  </w:style>
  <w:style w:type="character" w:customStyle="1" w:styleId="HeaderChar1">
    <w:name w:val="Header Char1"/>
    <w:aliases w:val="Footer1 Char"/>
    <w:uiPriority w:val="99"/>
    <w:rsid w:val="00622D52"/>
    <w:rPr>
      <w:rFonts w:ascii="Calibri" w:eastAsia="Calibri" w:hAnsi="Calibri" w:cs="Times New Roman"/>
      <w:szCs w:val="20"/>
      <w:lang w:eastAsia="en-GB"/>
    </w:rPr>
  </w:style>
  <w:style w:type="character" w:customStyle="1" w:styleId="FooterChar1">
    <w:name w:val="Footer Char1"/>
    <w:uiPriority w:val="99"/>
    <w:rsid w:val="00622D52"/>
    <w:rPr>
      <w:rFonts w:ascii="Carlito" w:eastAsia="Calibri" w:hAnsi="Calibri" w:cs="Times New Roman"/>
      <w:szCs w:val="20"/>
      <w:lang w:eastAsia="en-GB"/>
    </w:rPr>
  </w:style>
  <w:style w:type="paragraph" w:styleId="Bibliography">
    <w:name w:val="Bibliography"/>
    <w:basedOn w:val="Normal"/>
    <w:next w:val="Normal"/>
    <w:uiPriority w:val="37"/>
    <w:unhideWhenUsed/>
    <w:rsid w:val="00A1659E"/>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Huckfield</dc:creator>
  <cp:keywords/>
  <dc:description/>
  <cp:lastModifiedBy>Leslie Huckfield</cp:lastModifiedBy>
  <cp:revision>2</cp:revision>
  <dcterms:created xsi:type="dcterms:W3CDTF">2020-04-27T13:02:00Z</dcterms:created>
  <dcterms:modified xsi:type="dcterms:W3CDTF">2020-04-27T13:02:00Z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id="HyNos2Qa"/&gt;&lt;style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